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99086" w14:textId="77777777" w:rsidR="006332E8" w:rsidRPr="00B56EF1" w:rsidRDefault="006332E8" w:rsidP="006332E8">
      <w:pPr>
        <w:pStyle w:val="Caption"/>
        <w:keepNext/>
        <w:ind w:left="0" w:firstLine="0"/>
        <w:rPr>
          <w:b/>
          <w:bCs/>
        </w:rPr>
      </w:pPr>
      <w:bookmarkStart w:id="0" w:name="_Toc129227915"/>
      <w:r w:rsidRPr="00B56EF1">
        <w:rPr>
          <w:b/>
          <w:bCs/>
        </w:rPr>
        <w:t xml:space="preserve">Table </w:t>
      </w:r>
      <w:r w:rsidRPr="00B56EF1">
        <w:rPr>
          <w:b/>
          <w:bCs/>
        </w:rPr>
        <w:fldChar w:fldCharType="begin"/>
      </w:r>
      <w:r w:rsidRPr="00B56EF1">
        <w:rPr>
          <w:b/>
          <w:bCs/>
        </w:rPr>
        <w:instrText xml:space="preserve"> STYLEREF 1 \s </w:instrText>
      </w:r>
      <w:r w:rsidRPr="00B56EF1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B56EF1">
        <w:rPr>
          <w:b/>
          <w:bCs/>
        </w:rPr>
        <w:fldChar w:fldCharType="end"/>
      </w:r>
      <w:r w:rsidRPr="00B56EF1">
        <w:rPr>
          <w:b/>
          <w:bCs/>
        </w:rPr>
        <w:t>.</w:t>
      </w:r>
      <w:r w:rsidRPr="00B56EF1">
        <w:rPr>
          <w:b/>
          <w:bCs/>
        </w:rPr>
        <w:fldChar w:fldCharType="begin"/>
      </w:r>
      <w:r w:rsidRPr="00B56EF1">
        <w:rPr>
          <w:b/>
          <w:bCs/>
        </w:rPr>
        <w:instrText xml:space="preserve"> SEQ Table \* ARABIC \s 1 </w:instrText>
      </w:r>
      <w:r w:rsidRPr="00B56EF1">
        <w:rPr>
          <w:b/>
          <w:bCs/>
        </w:rPr>
        <w:fldChar w:fldCharType="separate"/>
      </w:r>
      <w:r>
        <w:rPr>
          <w:b/>
          <w:bCs/>
          <w:noProof/>
        </w:rPr>
        <w:t>1</w:t>
      </w:r>
      <w:r w:rsidRPr="00B56EF1">
        <w:rPr>
          <w:b/>
          <w:bCs/>
        </w:rPr>
        <w:fldChar w:fldCharType="end"/>
      </w:r>
      <w:r w:rsidRPr="00B56EF1">
        <w:rPr>
          <w:b/>
          <w:bCs/>
        </w:rPr>
        <w:t>. Systematically comparison of meta-analysis methods</w:t>
      </w:r>
      <w:bookmarkEnd w:id="0"/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systematically comparing meta-analysis methods for microarray data have been previously published"/>
      </w:tblPr>
      <w:tblGrid>
        <w:gridCol w:w="1389"/>
        <w:gridCol w:w="3113"/>
        <w:gridCol w:w="4253"/>
      </w:tblGrid>
      <w:tr w:rsidR="006332E8" w14:paraId="3C650BD9" w14:textId="77777777" w:rsidTr="00794406">
        <w:tc>
          <w:tcPr>
            <w:tcW w:w="1389" w:type="dxa"/>
            <w:tcBorders>
              <w:top w:val="single" w:sz="8" w:space="0" w:color="auto"/>
            </w:tcBorders>
            <w:shd w:val="clear" w:color="auto" w:fill="auto"/>
          </w:tcPr>
          <w:p w14:paraId="284A0F17" w14:textId="77777777" w:rsidR="006332E8" w:rsidRPr="00AC6584" w:rsidRDefault="006332E8" w:rsidP="00794406">
            <w:pPr>
              <w:rPr>
                <w:b/>
                <w:bCs/>
              </w:rPr>
            </w:pPr>
            <w:r w:rsidRPr="00AC6584">
              <w:rPr>
                <w:b/>
                <w:bCs/>
              </w:rPr>
              <w:t>Category</w:t>
            </w:r>
          </w:p>
        </w:tc>
        <w:tc>
          <w:tcPr>
            <w:tcW w:w="3113" w:type="dxa"/>
            <w:tcBorders>
              <w:top w:val="single" w:sz="8" w:space="0" w:color="auto"/>
            </w:tcBorders>
            <w:shd w:val="clear" w:color="auto" w:fill="auto"/>
          </w:tcPr>
          <w:p w14:paraId="3C31B7DA" w14:textId="77777777" w:rsidR="006332E8" w:rsidRPr="00AC6584" w:rsidRDefault="006332E8" w:rsidP="00794406">
            <w:pPr>
              <w:rPr>
                <w:b/>
                <w:bCs/>
              </w:rPr>
            </w:pPr>
            <w:r w:rsidRPr="00AC6584">
              <w:rPr>
                <w:b/>
                <w:bCs/>
              </w:rPr>
              <w:t>Method</w:t>
            </w:r>
          </w:p>
        </w:tc>
        <w:tc>
          <w:tcPr>
            <w:tcW w:w="4253" w:type="dxa"/>
            <w:tcBorders>
              <w:top w:val="single" w:sz="8" w:space="0" w:color="auto"/>
            </w:tcBorders>
            <w:shd w:val="clear" w:color="auto" w:fill="auto"/>
          </w:tcPr>
          <w:p w14:paraId="5A66FF82" w14:textId="77777777" w:rsidR="006332E8" w:rsidRPr="00AC6584" w:rsidRDefault="006332E8" w:rsidP="00794406">
            <w:pPr>
              <w:rPr>
                <w:b/>
                <w:bCs/>
              </w:rPr>
            </w:pPr>
            <w:r w:rsidRPr="00AC6584">
              <w:rPr>
                <w:b/>
                <w:bCs/>
              </w:rPr>
              <w:t>In detail</w:t>
            </w:r>
          </w:p>
        </w:tc>
      </w:tr>
      <w:tr w:rsidR="006332E8" w14:paraId="070FC4FF" w14:textId="77777777" w:rsidTr="006332E8">
        <w:tc>
          <w:tcPr>
            <w:tcW w:w="1389" w:type="dxa"/>
            <w:shd w:val="clear" w:color="auto" w:fill="F4B083" w:themeFill="accent2" w:themeFillTint="99"/>
          </w:tcPr>
          <w:p w14:paraId="0B8453B6" w14:textId="77777777" w:rsidR="006332E8" w:rsidRPr="009D7349" w:rsidRDefault="006332E8" w:rsidP="00794406">
            <w:r w:rsidRPr="0016768D">
              <w:rPr>
                <w:i/>
                <w:iCs/>
              </w:rPr>
              <w:t>p</w:t>
            </w:r>
            <w:r>
              <w:t>-values</w:t>
            </w:r>
          </w:p>
        </w:tc>
        <w:tc>
          <w:tcPr>
            <w:tcW w:w="3113" w:type="dxa"/>
            <w:shd w:val="clear" w:color="auto" w:fill="F4B083" w:themeFill="accent2" w:themeFillTint="99"/>
          </w:tcPr>
          <w:p w14:paraId="6E8C125B" w14:textId="77777777" w:rsidR="006332E8" w:rsidRDefault="006332E8" w:rsidP="00794406"/>
        </w:tc>
        <w:tc>
          <w:tcPr>
            <w:tcW w:w="4253" w:type="dxa"/>
            <w:shd w:val="clear" w:color="auto" w:fill="F4B083" w:themeFill="accent2" w:themeFillTint="99"/>
          </w:tcPr>
          <w:p w14:paraId="0EA91177" w14:textId="77777777" w:rsidR="006332E8" w:rsidRDefault="006332E8" w:rsidP="00794406"/>
        </w:tc>
      </w:tr>
      <w:tr w:rsidR="006332E8" w14:paraId="078F30D3" w14:textId="77777777" w:rsidTr="00794406">
        <w:tc>
          <w:tcPr>
            <w:tcW w:w="1389" w:type="dxa"/>
            <w:vMerge w:val="restart"/>
          </w:tcPr>
          <w:p w14:paraId="0305180C" w14:textId="77777777" w:rsidR="006332E8" w:rsidRDefault="006332E8" w:rsidP="00794406"/>
        </w:tc>
        <w:tc>
          <w:tcPr>
            <w:tcW w:w="3113" w:type="dxa"/>
          </w:tcPr>
          <w:p w14:paraId="75783AAE" w14:textId="77777777" w:rsidR="006332E8" w:rsidRDefault="006332E8" w:rsidP="00794406">
            <w:r>
              <w:t xml:space="preserve">Fisher’s statistic </w:t>
            </w:r>
          </w:p>
        </w:tc>
        <w:tc>
          <w:tcPr>
            <w:tcW w:w="4253" w:type="dxa"/>
          </w:tcPr>
          <w:p w14:paraId="20701981" w14:textId="77777777" w:rsidR="006332E8" w:rsidRDefault="006332E8" w:rsidP="00794406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Fisher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</w:rPr>
                  <m:t>=-2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log⁡</m:t>
                    </m:r>
                    <m: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)</m:t>
                    </m:r>
                  </m:e>
                </m:nary>
              </m:oMath>
            </m:oMathPara>
          </w:p>
        </w:tc>
      </w:tr>
      <w:tr w:rsidR="006332E8" w14:paraId="0663F63A" w14:textId="77777777" w:rsidTr="00794406">
        <w:tc>
          <w:tcPr>
            <w:tcW w:w="1389" w:type="dxa"/>
            <w:vMerge/>
          </w:tcPr>
          <w:p w14:paraId="1B50C2A8" w14:textId="77777777" w:rsidR="006332E8" w:rsidRDefault="006332E8" w:rsidP="00794406"/>
        </w:tc>
        <w:tc>
          <w:tcPr>
            <w:tcW w:w="3113" w:type="dxa"/>
          </w:tcPr>
          <w:p w14:paraId="04485CC2" w14:textId="77777777" w:rsidR="006332E8" w:rsidRDefault="006332E8" w:rsidP="00794406">
            <w:r>
              <w:t>Stouffer’s method</w:t>
            </w:r>
          </w:p>
          <w:p w14:paraId="671B3B04" w14:textId="77777777" w:rsidR="006332E8" w:rsidRDefault="006332E8" w:rsidP="00794406">
            <m:oMathPara>
              <m:oMath>
                <m:r>
                  <w:rPr>
                    <w:rFonts w:ascii="Cambria Math" w:hAnsi="Cambria Math"/>
                  </w:rPr>
                  <m:t>A=π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253" w:type="dxa"/>
          </w:tcPr>
          <w:p w14:paraId="1AB3FFAB" w14:textId="77777777" w:rsidR="006332E8" w:rsidRDefault="006332E8" w:rsidP="0079440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Stouffer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</w:rPr>
                          <m:t xml:space="preserve"> 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Φ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-1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))</m:t>
                        </m:r>
                      </m:den>
                    </m:f>
                  </m:e>
                </m:nary>
              </m:oMath>
            </m:oMathPara>
          </w:p>
        </w:tc>
      </w:tr>
      <w:tr w:rsidR="006332E8" w14:paraId="66A3FBD6" w14:textId="77777777" w:rsidTr="00794406">
        <w:tc>
          <w:tcPr>
            <w:tcW w:w="1389" w:type="dxa"/>
            <w:vMerge/>
          </w:tcPr>
          <w:p w14:paraId="43E9BDE7" w14:textId="77777777" w:rsidR="006332E8" w:rsidRDefault="006332E8" w:rsidP="00794406"/>
        </w:tc>
        <w:tc>
          <w:tcPr>
            <w:tcW w:w="3113" w:type="dxa"/>
          </w:tcPr>
          <w:p w14:paraId="79270E8C" w14:textId="77777777" w:rsidR="006332E8" w:rsidRDefault="006332E8" w:rsidP="00794406">
            <w:r>
              <w:t>Adaptively weighted (AW) Fisher</w:t>
            </w:r>
          </w:p>
        </w:tc>
        <w:tc>
          <w:tcPr>
            <w:tcW w:w="4253" w:type="dxa"/>
          </w:tcPr>
          <w:p w14:paraId="6A660393" w14:textId="77777777" w:rsidR="006332E8" w:rsidRDefault="006332E8" w:rsidP="0079440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AW</m:t>
                    </m:r>
                  </m:sub>
                </m:sSub>
                <m:r>
                  <w:rPr>
                    <w:rFonts w:ascii="Cambria Math" w:hAnsi="Cambria Math"/>
                  </w:rPr>
                  <m:t>=-</m:t>
                </m:r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</w:rPr>
                  <m:t xml:space="preserve">.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log⁡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) </m:t>
                </m:r>
              </m:oMath>
            </m:oMathPara>
          </w:p>
        </w:tc>
      </w:tr>
      <w:tr w:rsidR="006332E8" w14:paraId="58C6D9E9" w14:textId="77777777" w:rsidTr="00794406">
        <w:tc>
          <w:tcPr>
            <w:tcW w:w="1389" w:type="dxa"/>
            <w:vMerge/>
          </w:tcPr>
          <w:p w14:paraId="3C012DFD" w14:textId="77777777" w:rsidR="006332E8" w:rsidRDefault="006332E8" w:rsidP="00794406"/>
        </w:tc>
        <w:tc>
          <w:tcPr>
            <w:tcW w:w="3113" w:type="dxa"/>
          </w:tcPr>
          <w:p w14:paraId="144E164F" w14:textId="77777777" w:rsidR="006332E8" w:rsidRDefault="006332E8" w:rsidP="00794406">
            <w:r>
              <w:t>Minimum p-value (</w:t>
            </w:r>
            <w:proofErr w:type="spellStart"/>
            <w:r>
              <w:t>minP</w:t>
            </w:r>
            <w:proofErr w:type="spellEnd"/>
            <w:r>
              <w:t>)</w:t>
            </w:r>
          </w:p>
          <w:p w14:paraId="12BA8E8C" w14:textId="77777777" w:rsidR="006332E8" w:rsidRDefault="006332E8" w:rsidP="00794406"/>
        </w:tc>
        <w:tc>
          <w:tcPr>
            <w:tcW w:w="4253" w:type="dxa"/>
          </w:tcPr>
          <w:p w14:paraId="19FB4D08" w14:textId="77777777" w:rsidR="006332E8" w:rsidRDefault="006332E8" w:rsidP="00794406">
            <w:r>
              <w:t xml:space="preserve">Minimum </w:t>
            </w:r>
            <w:r w:rsidRPr="00D21E29">
              <w:rPr>
                <w:i/>
                <w:iCs/>
              </w:rPr>
              <w:t>p</w:t>
            </w:r>
            <w:r>
              <w:t xml:space="preserve">-value in all studies followed by a </w:t>
            </w:r>
            <w:r>
              <w:sym w:font="Symbol" w:char="F062"/>
            </w:r>
            <w:r>
              <w:t xml:space="preserve"> distribution with </w:t>
            </w:r>
            <m:oMath>
              <m:r>
                <w:rPr>
                  <w:rFonts w:ascii="Cambria Math" w:hAnsi="Cambria Math"/>
                </w:rPr>
                <m:t>α=1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β=k</m:t>
              </m:r>
            </m:oMath>
          </w:p>
        </w:tc>
      </w:tr>
      <w:tr w:rsidR="006332E8" w14:paraId="2AFA866F" w14:textId="77777777" w:rsidTr="00794406">
        <w:tc>
          <w:tcPr>
            <w:tcW w:w="1389" w:type="dxa"/>
            <w:vMerge/>
          </w:tcPr>
          <w:p w14:paraId="5FA2ADB6" w14:textId="77777777" w:rsidR="006332E8" w:rsidRDefault="006332E8" w:rsidP="00794406"/>
        </w:tc>
        <w:tc>
          <w:tcPr>
            <w:tcW w:w="3113" w:type="dxa"/>
          </w:tcPr>
          <w:p w14:paraId="7EEF18CC" w14:textId="77777777" w:rsidR="006332E8" w:rsidRDefault="006332E8" w:rsidP="00794406">
            <w:r>
              <w:t>Maximum p-value (</w:t>
            </w:r>
            <w:proofErr w:type="spellStart"/>
            <w:r>
              <w:t>maxP</w:t>
            </w:r>
            <w:proofErr w:type="spellEnd"/>
            <w:r>
              <w:t>)</w:t>
            </w:r>
          </w:p>
          <w:p w14:paraId="359749B7" w14:textId="77777777" w:rsidR="006332E8" w:rsidRDefault="006332E8" w:rsidP="00794406"/>
        </w:tc>
        <w:tc>
          <w:tcPr>
            <w:tcW w:w="4253" w:type="dxa"/>
          </w:tcPr>
          <w:p w14:paraId="07F3B1D9" w14:textId="77777777" w:rsidR="006332E8" w:rsidRDefault="006332E8" w:rsidP="00794406">
            <w:r>
              <w:t xml:space="preserve">Maximum </w:t>
            </w:r>
            <w:r w:rsidRPr="00D21E29">
              <w:rPr>
                <w:i/>
                <w:iCs/>
              </w:rPr>
              <w:t>p</w:t>
            </w:r>
            <w:r>
              <w:t xml:space="preserve">-value in all studies followed by a </w:t>
            </w:r>
            <w:r>
              <w:sym w:font="Symbol" w:char="F062"/>
            </w:r>
            <w:r>
              <w:t xml:space="preserve"> distribution with </w:t>
            </w:r>
            <m:oMath>
              <m:r>
                <w:rPr>
                  <w:rFonts w:ascii="Cambria Math" w:hAnsi="Cambria Math"/>
                </w:rPr>
                <m:t>α=k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β=1</m:t>
              </m:r>
            </m:oMath>
          </w:p>
        </w:tc>
      </w:tr>
      <w:tr w:rsidR="006332E8" w14:paraId="09DF5C91" w14:textId="77777777" w:rsidTr="00794406">
        <w:tc>
          <w:tcPr>
            <w:tcW w:w="1389" w:type="dxa"/>
            <w:vMerge/>
          </w:tcPr>
          <w:p w14:paraId="6804176E" w14:textId="77777777" w:rsidR="006332E8" w:rsidRDefault="006332E8" w:rsidP="00794406"/>
        </w:tc>
        <w:tc>
          <w:tcPr>
            <w:tcW w:w="3113" w:type="dxa"/>
          </w:tcPr>
          <w:p w14:paraId="0003BF44" w14:textId="77777777" w:rsidR="006332E8" w:rsidRDefault="006332E8" w:rsidP="00794406">
            <w:r>
              <w:t>r-</w:t>
            </w:r>
            <w:proofErr w:type="spellStart"/>
            <w:r>
              <w:t>th</w:t>
            </w:r>
            <w:proofErr w:type="spellEnd"/>
            <w:r>
              <w:t xml:space="preserve"> ordered p-value (</w:t>
            </w:r>
            <w:proofErr w:type="spellStart"/>
            <w:r>
              <w:t>rOP</w:t>
            </w:r>
            <w:proofErr w:type="spellEnd"/>
            <w:r>
              <w:t>)</w:t>
            </w:r>
          </w:p>
          <w:p w14:paraId="2ACD4130" w14:textId="77777777" w:rsidR="006332E8" w:rsidRDefault="006332E8" w:rsidP="00794406"/>
        </w:tc>
        <w:tc>
          <w:tcPr>
            <w:tcW w:w="4253" w:type="dxa"/>
          </w:tcPr>
          <w:p w14:paraId="1F4A8BBC" w14:textId="77777777" w:rsidR="006332E8" w:rsidRDefault="006332E8" w:rsidP="00794406">
            <w:r>
              <w:t xml:space="preserve">sorted </w:t>
            </w:r>
            <w:r w:rsidRPr="00D21E29">
              <w:rPr>
                <w:i/>
                <w:iCs/>
              </w:rPr>
              <w:t>p</w:t>
            </w:r>
            <w:r>
              <w:t xml:space="preserve">-value in all studies followed by a </w:t>
            </w:r>
            <w:r>
              <w:sym w:font="Symbol" w:char="F062"/>
            </w:r>
            <w:r>
              <w:t xml:space="preserve"> distribution with </w:t>
            </w:r>
            <m:oMath>
              <m:r>
                <w:rPr>
                  <w:rFonts w:ascii="Cambria Math" w:hAnsi="Cambria Math"/>
                </w:rPr>
                <m:t>α=r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β=K-r+1</m:t>
              </m:r>
            </m:oMath>
          </w:p>
        </w:tc>
      </w:tr>
      <w:tr w:rsidR="006332E8" w14:paraId="17081707" w14:textId="77777777" w:rsidTr="006332E8">
        <w:tc>
          <w:tcPr>
            <w:tcW w:w="1389" w:type="dxa"/>
            <w:shd w:val="clear" w:color="auto" w:fill="F4B083" w:themeFill="accent2" w:themeFillTint="99"/>
          </w:tcPr>
          <w:p w14:paraId="58EED76A" w14:textId="77777777" w:rsidR="006332E8" w:rsidRDefault="006332E8" w:rsidP="00794406">
            <w:r>
              <w:t>Effect size</w:t>
            </w:r>
          </w:p>
        </w:tc>
        <w:tc>
          <w:tcPr>
            <w:tcW w:w="3113" w:type="dxa"/>
            <w:shd w:val="clear" w:color="auto" w:fill="F4B083" w:themeFill="accent2" w:themeFillTint="99"/>
          </w:tcPr>
          <w:p w14:paraId="5DCAF08F" w14:textId="77777777" w:rsidR="006332E8" w:rsidRDefault="006332E8" w:rsidP="00794406"/>
        </w:tc>
        <w:tc>
          <w:tcPr>
            <w:tcW w:w="4253" w:type="dxa"/>
            <w:shd w:val="clear" w:color="auto" w:fill="F4B083" w:themeFill="accent2" w:themeFillTint="99"/>
          </w:tcPr>
          <w:p w14:paraId="4D7B8773" w14:textId="77777777" w:rsidR="006332E8" w:rsidRDefault="006332E8" w:rsidP="00794406">
            <w:pPr>
              <w:jc w:val="center"/>
            </w:pPr>
          </w:p>
        </w:tc>
      </w:tr>
      <w:tr w:rsidR="006332E8" w14:paraId="55D483E7" w14:textId="77777777" w:rsidTr="00794406">
        <w:tc>
          <w:tcPr>
            <w:tcW w:w="1389" w:type="dxa"/>
            <w:vMerge w:val="restart"/>
          </w:tcPr>
          <w:p w14:paraId="2C682FA0" w14:textId="77777777" w:rsidR="006332E8" w:rsidRDefault="006332E8" w:rsidP="00794406"/>
          <w:p w14:paraId="33F7DCED" w14:textId="77777777" w:rsidR="006332E8" w:rsidRDefault="006332E8" w:rsidP="00794406"/>
        </w:tc>
        <w:tc>
          <w:tcPr>
            <w:tcW w:w="3113" w:type="dxa"/>
          </w:tcPr>
          <w:p w14:paraId="46E334BB" w14:textId="77777777" w:rsidR="006332E8" w:rsidRDefault="006332E8" w:rsidP="00794406">
            <w:r>
              <w:t>Fixed effects model</w:t>
            </w:r>
          </w:p>
          <w:p w14:paraId="156AD276" w14:textId="77777777" w:rsidR="006332E8" w:rsidRDefault="006332E8" w:rsidP="00794406"/>
        </w:tc>
        <w:tc>
          <w:tcPr>
            <w:tcW w:w="4253" w:type="dxa"/>
          </w:tcPr>
          <w:p w14:paraId="3E18BB41" w14:textId="77777777" w:rsidR="006332E8" w:rsidRDefault="006332E8" w:rsidP="00794406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=μ+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~ N (0, 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)</m:t>
              </m:r>
            </m:oMath>
          </w:p>
        </w:tc>
      </w:tr>
      <w:tr w:rsidR="006332E8" w14:paraId="3C1224DB" w14:textId="77777777" w:rsidTr="00794406">
        <w:tc>
          <w:tcPr>
            <w:tcW w:w="1389" w:type="dxa"/>
            <w:vMerge/>
          </w:tcPr>
          <w:p w14:paraId="54D52635" w14:textId="77777777" w:rsidR="006332E8" w:rsidRDefault="006332E8" w:rsidP="00794406"/>
        </w:tc>
        <w:tc>
          <w:tcPr>
            <w:tcW w:w="3113" w:type="dxa"/>
          </w:tcPr>
          <w:p w14:paraId="1027B1AC" w14:textId="77777777" w:rsidR="006332E8" w:rsidRDefault="006332E8" w:rsidP="00794406">
            <w:r>
              <w:t>Random effects model</w:t>
            </w:r>
          </w:p>
        </w:tc>
        <w:tc>
          <w:tcPr>
            <w:tcW w:w="4253" w:type="dxa"/>
          </w:tcPr>
          <w:p w14:paraId="5DD7D4F8" w14:textId="77777777" w:rsidR="006332E8" w:rsidRDefault="006332E8" w:rsidP="00794406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=μ+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~ N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0, 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d>
              <m: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 xml:space="preserve">~ N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0,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</w:p>
        </w:tc>
      </w:tr>
      <w:tr w:rsidR="006332E8" w14:paraId="4822AE40" w14:textId="77777777" w:rsidTr="006332E8">
        <w:tc>
          <w:tcPr>
            <w:tcW w:w="1389" w:type="dxa"/>
            <w:shd w:val="clear" w:color="auto" w:fill="F4B083" w:themeFill="accent2" w:themeFillTint="99"/>
          </w:tcPr>
          <w:p w14:paraId="1F1CBB94" w14:textId="77777777" w:rsidR="006332E8" w:rsidRDefault="006332E8" w:rsidP="00794406">
            <w:r>
              <w:t>Rank statistics</w:t>
            </w:r>
          </w:p>
        </w:tc>
        <w:tc>
          <w:tcPr>
            <w:tcW w:w="3113" w:type="dxa"/>
            <w:shd w:val="clear" w:color="auto" w:fill="F4B083" w:themeFill="accent2" w:themeFillTint="99"/>
          </w:tcPr>
          <w:p w14:paraId="2C54E453" w14:textId="77777777" w:rsidR="006332E8" w:rsidRDefault="006332E8" w:rsidP="00794406"/>
        </w:tc>
        <w:tc>
          <w:tcPr>
            <w:tcW w:w="4253" w:type="dxa"/>
            <w:shd w:val="clear" w:color="auto" w:fill="F4B083" w:themeFill="accent2" w:themeFillTint="99"/>
          </w:tcPr>
          <w:p w14:paraId="4FC80989" w14:textId="77777777" w:rsidR="006332E8" w:rsidRDefault="006332E8" w:rsidP="00794406"/>
        </w:tc>
      </w:tr>
      <w:tr w:rsidR="006332E8" w14:paraId="2F11B9BB" w14:textId="77777777" w:rsidTr="00794406">
        <w:tc>
          <w:tcPr>
            <w:tcW w:w="1389" w:type="dxa"/>
            <w:vMerge w:val="restart"/>
          </w:tcPr>
          <w:p w14:paraId="7583B326" w14:textId="77777777" w:rsidR="006332E8" w:rsidRDefault="006332E8" w:rsidP="00794406"/>
          <w:p w14:paraId="587CBA34" w14:textId="77777777" w:rsidR="006332E8" w:rsidRDefault="006332E8" w:rsidP="00794406"/>
        </w:tc>
        <w:tc>
          <w:tcPr>
            <w:tcW w:w="3113" w:type="dxa"/>
          </w:tcPr>
          <w:p w14:paraId="44005167" w14:textId="77777777" w:rsidR="006332E8" w:rsidRDefault="006332E8" w:rsidP="00794406">
            <w:proofErr w:type="spellStart"/>
            <w:r>
              <w:lastRenderedPageBreak/>
              <w:t>RankProd</w:t>
            </w:r>
            <w:proofErr w:type="spellEnd"/>
            <w:r>
              <w:t xml:space="preserve"> (RP) &amp; </w:t>
            </w:r>
          </w:p>
          <w:p w14:paraId="5B3FC790" w14:textId="77777777" w:rsidR="006332E8" w:rsidRDefault="006332E8" w:rsidP="00794406">
            <w:proofErr w:type="spellStart"/>
            <w:r>
              <w:lastRenderedPageBreak/>
              <w:t>RankSum</w:t>
            </w:r>
            <w:proofErr w:type="spellEnd"/>
            <w:r>
              <w:t xml:space="preserve"> (RS)</w:t>
            </w:r>
          </w:p>
        </w:tc>
        <w:tc>
          <w:tcPr>
            <w:tcW w:w="4253" w:type="dxa"/>
          </w:tcPr>
          <w:p w14:paraId="38D7D5C6" w14:textId="77777777" w:rsidR="006332E8" w:rsidRPr="008D22EC" w:rsidRDefault="006332E8" w:rsidP="00794406">
            <m:oMathPara>
              <m:oMath>
                <m:r>
                  <w:rPr>
                    <w:rFonts w:ascii="Cambria Math" w:hAnsi="Cambria Math"/>
                  </w:rPr>
                  <w:lastRenderedPageBreak/>
                  <m:t>RP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up</m:t>
                    </m:r>
                  </m:sup>
                </m:sSubSup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∏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∏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/>
                          </w:rPr>
                          <m:t>g,i,k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up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den>
                    </m:f>
                  </m:sup>
                </m:sSup>
              </m:oMath>
            </m:oMathPara>
          </w:p>
          <w:p w14:paraId="4B30ED70" w14:textId="77777777" w:rsidR="006332E8" w:rsidRDefault="006332E8" w:rsidP="0079440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FDR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(</m:t>
                    </m:r>
                    <m:f>
                      <m:fPr>
                        <m:type m:val="li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sub>
                      <m:sup/>
                      <m:e>
                        <m:nary>
                          <m:naryPr>
                            <m:chr m:val="∑"/>
                            <m:limLoc m:val="subSup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sub>
                          <m:sup/>
                          <m:e>
                            <m:r>
                              <w:rPr>
                                <w:rFonts w:ascii="Cambria Math" w:hAnsi="Cambria Math"/>
                              </w:rPr>
                              <m:t>I(R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g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up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</m:d>
                              </m:sup>
                            </m:sSubSup>
                            <m:r>
                              <w:rPr>
                                <w:rFonts w:ascii="Cambria Math" w:hAnsi="Cambria Math"/>
                              </w:rPr>
                              <m:t>|≤R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g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up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</w:rPr>
                              <m:t>)</m:t>
                            </m:r>
                          </m:e>
                        </m:nary>
                      </m:e>
                    </m:nary>
                  </m:num>
                  <m:den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</w:rPr>
                          <m:t>I(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g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up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b</m:t>
                                    </m:r>
                                  </m:e>
                                </m:d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≤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RP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</w:rPr>
                              <m:t>up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nary>
                  </m:den>
                </m:f>
              </m:oMath>
            </m:oMathPara>
          </w:p>
        </w:tc>
      </w:tr>
      <w:tr w:rsidR="006332E8" w14:paraId="241D04E0" w14:textId="77777777" w:rsidTr="00794406">
        <w:tc>
          <w:tcPr>
            <w:tcW w:w="1389" w:type="dxa"/>
            <w:vMerge/>
            <w:tcBorders>
              <w:bottom w:val="single" w:sz="8" w:space="0" w:color="auto"/>
            </w:tcBorders>
          </w:tcPr>
          <w:p w14:paraId="560EFED1" w14:textId="77777777" w:rsidR="006332E8" w:rsidRDefault="006332E8" w:rsidP="00794406"/>
        </w:tc>
        <w:tc>
          <w:tcPr>
            <w:tcW w:w="3113" w:type="dxa"/>
            <w:tcBorders>
              <w:bottom w:val="single" w:sz="8" w:space="0" w:color="auto"/>
            </w:tcBorders>
          </w:tcPr>
          <w:p w14:paraId="1852877F" w14:textId="77777777" w:rsidR="006332E8" w:rsidRDefault="006332E8" w:rsidP="00794406">
            <w:r>
              <w:t xml:space="preserve">Product of ranks (PR) &amp; </w:t>
            </w:r>
          </w:p>
          <w:p w14:paraId="3124D85F" w14:textId="77777777" w:rsidR="006332E8" w:rsidRDefault="006332E8" w:rsidP="00794406">
            <w:r>
              <w:t>Sum of ranks (SR)</w:t>
            </w:r>
          </w:p>
        </w:tc>
        <w:tc>
          <w:tcPr>
            <w:tcW w:w="4253" w:type="dxa"/>
            <w:tcBorders>
              <w:bottom w:val="single" w:sz="8" w:space="0" w:color="auto"/>
            </w:tcBorders>
          </w:tcPr>
          <w:p w14:paraId="6D8D880E" w14:textId="77777777" w:rsidR="006332E8" w:rsidRPr="00EC521A" w:rsidRDefault="006332E8" w:rsidP="00794406">
            <m:oMathPara>
              <m:oMath>
                <m:r>
                  <w:rPr>
                    <w:rFonts w:ascii="Cambria Math" w:hAnsi="Cambria Math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∏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gk</m:t>
                        </m:r>
                      </m:sub>
                    </m:sSub>
                  </m:e>
                </m:nary>
              </m:oMath>
            </m:oMathPara>
          </w:p>
          <w:p w14:paraId="69A96F3A" w14:textId="77777777" w:rsidR="006332E8" w:rsidRDefault="006332E8" w:rsidP="00794406">
            <m:oMathPara>
              <m:oMath>
                <m:r>
                  <w:rPr>
                    <w:rFonts w:ascii="Cambria Math" w:hAnsi="Cambria Math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∏"/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k=1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K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gk</m:t>
                        </m:r>
                      </m:sub>
                    </m:sSub>
                  </m:e>
                </m:nary>
              </m:oMath>
            </m:oMathPara>
          </w:p>
        </w:tc>
      </w:tr>
    </w:tbl>
    <w:p w14:paraId="1DE567E3" w14:textId="77777777" w:rsidR="0003475A" w:rsidRDefault="0003475A"/>
    <w:sectPr w:rsidR="00034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2E8"/>
    <w:rsid w:val="0003475A"/>
    <w:rsid w:val="00042CCF"/>
    <w:rsid w:val="000B4FFD"/>
    <w:rsid w:val="001B109E"/>
    <w:rsid w:val="0027045A"/>
    <w:rsid w:val="005E2A38"/>
    <w:rsid w:val="006332E8"/>
    <w:rsid w:val="007B029E"/>
    <w:rsid w:val="007B3145"/>
    <w:rsid w:val="007C5049"/>
    <w:rsid w:val="007E1AFC"/>
    <w:rsid w:val="0082357D"/>
    <w:rsid w:val="00881D15"/>
    <w:rsid w:val="00A02914"/>
    <w:rsid w:val="00A964ED"/>
    <w:rsid w:val="00AD2FB9"/>
    <w:rsid w:val="00B563D2"/>
    <w:rsid w:val="00CA5F7A"/>
    <w:rsid w:val="00CE02C3"/>
    <w:rsid w:val="00CE6F72"/>
    <w:rsid w:val="00DE3D67"/>
    <w:rsid w:val="00E82124"/>
    <w:rsid w:val="00F558A8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A6C84"/>
  <w15:chartTrackingRefBased/>
  <w15:docId w15:val="{F5CF7F8D-0C72-2A47-84E2-9C64C844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2E8"/>
    <w:pPr>
      <w:spacing w:before="200" w:line="360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6332E8"/>
    <w:pPr>
      <w:tabs>
        <w:tab w:val="left" w:pos="1418"/>
      </w:tabs>
      <w:spacing w:before="120" w:after="120"/>
      <w:ind w:left="1134" w:hanging="1134"/>
      <w:contextualSpacing/>
    </w:pPr>
    <w:rPr>
      <w:szCs w:val="26"/>
      <w:lang w:eastAsia="en-US"/>
    </w:rPr>
  </w:style>
  <w:style w:type="table" w:styleId="TableGrid">
    <w:name w:val="Table Grid"/>
    <w:basedOn w:val="TableNormal"/>
    <w:uiPriority w:val="39"/>
    <w:rsid w:val="006332E8"/>
    <w:pPr>
      <w:adjustRightInd w:val="0"/>
      <w:spacing w:before="40" w:after="40" w:line="360" w:lineRule="auto"/>
    </w:pPr>
    <w:rPr>
      <w:rFonts w:ascii="Calibri" w:eastAsia="SimSun" w:hAnsi="Calibri" w:cs="Times New Roman"/>
      <w:sz w:val="22"/>
      <w:szCs w:val="22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1</cp:revision>
  <dcterms:created xsi:type="dcterms:W3CDTF">2023-04-03T02:25:00Z</dcterms:created>
  <dcterms:modified xsi:type="dcterms:W3CDTF">2023-04-03T02:26:00Z</dcterms:modified>
</cp:coreProperties>
</file>